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3060"/>
      </w:tblGrid>
      <w:tr w:rsidR="0066596C" w:rsidRPr="00A77023" w:rsidTr="00827895">
        <w:tc>
          <w:tcPr>
            <w:tcW w:w="3060" w:type="dxa"/>
          </w:tcPr>
          <w:p w:rsidR="0066596C" w:rsidRDefault="00BD2BEF" w:rsidP="00827895">
            <w:pPr>
              <w:pStyle w:val="Heading2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620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96C" w:rsidRPr="00A77023" w:rsidRDefault="0066596C" w:rsidP="00827895">
            <w:pPr>
              <w:pStyle w:val="Heading2"/>
              <w:rPr>
                <w:b w:val="0"/>
                <w:bCs/>
                <w:sz w:val="24"/>
                <w:szCs w:val="24"/>
              </w:rPr>
            </w:pPr>
            <w:r w:rsidRPr="00A77023">
              <w:rPr>
                <w:b w:val="0"/>
                <w:bCs/>
                <w:sz w:val="24"/>
                <w:szCs w:val="24"/>
              </w:rPr>
              <w:t>REPUBLIKA HRVATSKA</w:t>
            </w:r>
          </w:p>
          <w:p w:rsidR="0066596C" w:rsidRPr="00A77023" w:rsidRDefault="0066596C" w:rsidP="00827895">
            <w:pPr>
              <w:jc w:val="center"/>
            </w:pPr>
            <w:r w:rsidRPr="00A77023">
              <w:t>Trgovački sud u Zagrebu</w:t>
            </w:r>
          </w:p>
          <w:p w:rsidR="0066596C" w:rsidRPr="00A77023" w:rsidRDefault="0066596C" w:rsidP="00827895">
            <w:pPr>
              <w:jc w:val="center"/>
            </w:pPr>
            <w:r w:rsidRPr="00A77023">
              <w:t>Zagreb, Amruševa 2/II</w:t>
            </w:r>
          </w:p>
        </w:tc>
      </w:tr>
    </w:tbl>
    <w:p w:rsidR="00685199" w:rsidRDefault="00A806E8" w:rsidP="00673E28">
      <w:pPr>
        <w:ind w:left="5664"/>
      </w:pPr>
      <w:r w:rsidRPr="00645508">
        <w:rPr>
          <w:b/>
        </w:rPr>
        <w:tab/>
      </w:r>
      <w:r w:rsidR="0066596C" w:rsidRPr="00645508">
        <w:t xml:space="preserve">      </w:t>
      </w:r>
      <w:r w:rsidR="0066596C">
        <w:t>40.</w:t>
      </w:r>
      <w:r w:rsidR="0066596C" w:rsidRPr="00645508">
        <w:t>-St-</w:t>
      </w:r>
      <w:r w:rsidR="007A5AF6">
        <w:t>1666/13</w:t>
      </w:r>
    </w:p>
    <w:p w:rsidR="0044359C" w:rsidRPr="00645508" w:rsidRDefault="0044359C" w:rsidP="0044359C">
      <w:pPr>
        <w:jc w:val="center"/>
        <w:rPr>
          <w:b/>
        </w:rPr>
      </w:pPr>
      <w:r>
        <w:t>R E P U B L I K A  H  R V A T  S K A</w:t>
      </w:r>
    </w:p>
    <w:p w:rsidR="00B01320" w:rsidRPr="0044359C" w:rsidRDefault="00877097" w:rsidP="00974456">
      <w:pPr>
        <w:jc w:val="center"/>
      </w:pPr>
      <w:r w:rsidRPr="0044359C">
        <w:t>Z A K L</w:t>
      </w:r>
      <w:r w:rsidR="004270F7" w:rsidRPr="0044359C">
        <w:t>J U Č A K</w:t>
      </w:r>
    </w:p>
    <w:p w:rsidR="005D56F9" w:rsidRDefault="00D92622" w:rsidP="005D56F9">
      <w:pPr>
        <w:jc w:val="both"/>
      </w:pPr>
      <w:r w:rsidRPr="00645508">
        <w:tab/>
      </w:r>
      <w:r w:rsidR="005D56F9">
        <w:tab/>
        <w:t xml:space="preserve">            </w:t>
      </w:r>
    </w:p>
    <w:p w:rsidR="005D56F9" w:rsidRPr="005D56F9" w:rsidRDefault="005D56F9" w:rsidP="005D56F9">
      <w:pPr>
        <w:jc w:val="both"/>
        <w:rPr>
          <w:sz w:val="40"/>
          <w:szCs w:val="40"/>
        </w:rPr>
      </w:pPr>
      <w:r>
        <w:tab/>
      </w:r>
      <w:r w:rsidR="007A5AF6" w:rsidRPr="00C23551">
        <w:t>TRGOVAČKI SUD U ZAGREBU, po sucu Anti Galiću, kao stečajnom sucu, u stečajnom postupku nad dužnikom BAJLO d.o.o., u stečaju, Zagreb, Supilova 6 ,</w:t>
      </w:r>
      <w:r w:rsidR="007A5AF6">
        <w:t xml:space="preserve">dana </w:t>
      </w:r>
      <w:r w:rsidR="005175E7">
        <w:t>20.listopada</w:t>
      </w:r>
      <w:r w:rsidR="00AD76E0">
        <w:t xml:space="preserve"> </w:t>
      </w:r>
      <w:r w:rsidR="0044359C">
        <w:t>201</w:t>
      </w:r>
      <w:r w:rsidR="002C4A24">
        <w:t>6</w:t>
      </w:r>
      <w:r w:rsidR="0044359C">
        <w:t>.</w:t>
      </w:r>
      <w:r>
        <w:t xml:space="preserve"> </w:t>
      </w:r>
    </w:p>
    <w:p w:rsidR="00F868C9" w:rsidRPr="009F646A" w:rsidRDefault="008D0264" w:rsidP="00974456">
      <w:pPr>
        <w:jc w:val="both"/>
      </w:pPr>
      <w:r w:rsidRPr="00645508">
        <w:tab/>
      </w:r>
      <w:r w:rsidRPr="00645508">
        <w:tab/>
      </w:r>
      <w:r w:rsidRPr="00645508">
        <w:tab/>
      </w:r>
      <w:r w:rsidRPr="00645508">
        <w:tab/>
      </w:r>
      <w:r w:rsidRPr="009F646A">
        <w:t xml:space="preserve">        </w:t>
      </w:r>
      <w:r w:rsidR="00877097" w:rsidRPr="009F646A">
        <w:t>z a k l</w:t>
      </w:r>
      <w:r w:rsidR="004270F7" w:rsidRPr="009F646A">
        <w:t xml:space="preserve">j u č i o  </w:t>
      </w:r>
      <w:r w:rsidR="00C31D80" w:rsidRPr="009F646A">
        <w:t xml:space="preserve"> </w:t>
      </w:r>
      <w:r w:rsidR="00877097" w:rsidRPr="009F646A">
        <w:t xml:space="preserve"> j </w:t>
      </w:r>
      <w:r w:rsidR="00A806E8" w:rsidRPr="009F646A">
        <w:t xml:space="preserve">e </w:t>
      </w:r>
      <w:r w:rsidR="00A806E8" w:rsidRPr="009F646A">
        <w:tab/>
      </w:r>
    </w:p>
    <w:p w:rsidR="00A806E8" w:rsidRPr="00645508" w:rsidRDefault="00A806E8" w:rsidP="00974456">
      <w:pPr>
        <w:jc w:val="both"/>
        <w:rPr>
          <w:b/>
        </w:rPr>
      </w:pPr>
      <w:r w:rsidRPr="00645508">
        <w:rPr>
          <w:b/>
        </w:rPr>
        <w:tab/>
      </w:r>
      <w:r w:rsidRPr="00645508">
        <w:rPr>
          <w:b/>
        </w:rPr>
        <w:tab/>
      </w:r>
      <w:r w:rsidRPr="00645508">
        <w:rPr>
          <w:b/>
        </w:rPr>
        <w:tab/>
      </w:r>
      <w:r w:rsidRPr="00645508">
        <w:rPr>
          <w:b/>
        </w:rPr>
        <w:tab/>
      </w:r>
    </w:p>
    <w:p w:rsidR="00D92622" w:rsidRPr="00645508" w:rsidRDefault="00D27E4F" w:rsidP="007A5AF6">
      <w:pPr>
        <w:ind w:firstLine="680"/>
        <w:jc w:val="both"/>
      </w:pPr>
      <w:r w:rsidRPr="00645508">
        <w:t xml:space="preserve"> </w:t>
      </w:r>
      <w:r w:rsidR="00D92622" w:rsidRPr="00645508">
        <w:t>I  Pra</w:t>
      </w:r>
      <w:r w:rsidR="009917AB" w:rsidRPr="00645508">
        <w:t xml:space="preserve">vomoćnim rješenjem ovog suda od </w:t>
      </w:r>
      <w:r w:rsidR="007A5AF6">
        <w:t>30. prosinca 2014</w:t>
      </w:r>
      <w:r w:rsidR="00900636">
        <w:t>.</w:t>
      </w:r>
      <w:r w:rsidR="009917AB" w:rsidRPr="00645508">
        <w:t xml:space="preserve"> </w:t>
      </w:r>
      <w:r w:rsidR="00153E95" w:rsidRPr="00645508">
        <w:t xml:space="preserve">broj </w:t>
      </w:r>
      <w:r w:rsidR="0066596C">
        <w:t>40.St-</w:t>
      </w:r>
      <w:r w:rsidR="007A5AF6">
        <w:t>1666/</w:t>
      </w:r>
      <w:r w:rsidR="0044359C">
        <w:t>13</w:t>
      </w:r>
      <w:r w:rsidR="00274521">
        <w:t>,</w:t>
      </w:r>
      <w:r w:rsidR="009917AB" w:rsidRPr="00645508">
        <w:t xml:space="preserve"> </w:t>
      </w:r>
      <w:r w:rsidR="004D7CF5" w:rsidRPr="00645508">
        <w:t>odre</w:t>
      </w:r>
      <w:r w:rsidR="00D92622" w:rsidRPr="00645508">
        <w:t xml:space="preserve">đena je prodaja u stečajnom postupku nekretnine u vlasništvu stečajnog dužnika </w:t>
      </w:r>
      <w:r w:rsidR="007A5AF6" w:rsidRPr="00C23551">
        <w:t>BAJLO d.o.o., u stečaju, Zagreb, Supilova 6</w:t>
      </w:r>
      <w:r w:rsidR="0044359C">
        <w:t>,</w:t>
      </w:r>
      <w:r w:rsidR="0044359C" w:rsidRPr="006125CA">
        <w:t xml:space="preserve">  </w:t>
      </w:r>
      <w:r w:rsidR="00900636">
        <w:t>u</w:t>
      </w:r>
      <w:r w:rsidR="00D92622" w:rsidRPr="00645508">
        <w:t xml:space="preserve">z odgovarajuću primjenu Ovršnog zakona, i to: </w:t>
      </w:r>
    </w:p>
    <w:p w:rsidR="007A5AF6" w:rsidRDefault="007A5AF6" w:rsidP="007A5AF6">
      <w:pPr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154"/>
        </w:tabs>
        <w:jc w:val="both"/>
      </w:pPr>
      <w:r>
        <w:t xml:space="preserve">kč.br. 297, zgrada mješovite uporabe br. 6 (površine 217m2) i dvorište (površine 285 m2), Supilova ulica u pov. 502 m2, povezano sa vlasništvom posebnog dijela 1. Etaža: 250/1000, poslovni prostor (ured) u prizemlju (oznake poslovni prostor) sadržaja: ul. prostor 1, ul. prostor 2, uredski prostor, wc muški, wc ženski, izba, ukupne podne površine poslovnog prostora 85,85m2. Sporednim dijelom-parkirno mjesto oznake P-6 u prizemlju površine 12,50 m2; sporednim dijelom – spremište u podrumu oznake SP-6 površine 37,83 m2 i sporednim dijelom-garažom u podrumu oznake G-1 površine 14,28 m2, a sve u planu posebnih dijelova označeno ljubičastom bojom, upisano u zk. ul. 3742, poduložak 1 k.o. Trnje, kod Općinskog građanskog suda u Zagrebu. </w:t>
      </w:r>
    </w:p>
    <w:p w:rsidR="0044359C" w:rsidRDefault="0044359C" w:rsidP="007A5AF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center" w:pos="4154"/>
        </w:tabs>
        <w:overflowPunct w:val="0"/>
        <w:autoSpaceDE w:val="0"/>
        <w:autoSpaceDN w:val="0"/>
        <w:adjustRightInd w:val="0"/>
        <w:ind w:left="710"/>
        <w:jc w:val="both"/>
        <w:textAlignment w:val="baseline"/>
      </w:pPr>
    </w:p>
    <w:p w:rsidR="00A84C1A" w:rsidRPr="00645508" w:rsidRDefault="00A84C1A" w:rsidP="00974456">
      <w:pPr>
        <w:jc w:val="both"/>
      </w:pPr>
      <w:r w:rsidRPr="00645508">
        <w:tab/>
        <w:t xml:space="preserve">II  </w:t>
      </w:r>
      <w:r w:rsidR="009C659B">
        <w:t xml:space="preserve">Ovim zaključkom određuje se </w:t>
      </w:r>
      <w:r w:rsidR="005175E7" w:rsidRPr="005175E7">
        <w:rPr>
          <w:b/>
        </w:rPr>
        <w:t>sedma</w:t>
      </w:r>
      <w:r w:rsidR="0066596C">
        <w:t xml:space="preserve"> </w:t>
      </w:r>
      <w:r w:rsidR="009C659B">
        <w:t xml:space="preserve">prodaja </w:t>
      </w:r>
      <w:r w:rsidR="0066596C">
        <w:t>-</w:t>
      </w:r>
      <w:r w:rsidR="009C659B">
        <w:t>javna dražba nekretnin</w:t>
      </w:r>
      <w:r w:rsidR="0044359C">
        <w:t>a</w:t>
      </w:r>
      <w:r w:rsidR="009C659B">
        <w:t xml:space="preserve"> opisan</w:t>
      </w:r>
      <w:r w:rsidR="0044359C">
        <w:t>ih</w:t>
      </w:r>
      <w:r w:rsidR="009C659B">
        <w:t xml:space="preserve"> u točci I ovog zaključka u stečajnom postupku.</w:t>
      </w:r>
    </w:p>
    <w:p w:rsidR="00A84C1A" w:rsidRDefault="009C659B" w:rsidP="007A5AF6">
      <w:pPr>
        <w:ind w:firstLine="708"/>
        <w:jc w:val="both"/>
      </w:pPr>
      <w:r>
        <w:t xml:space="preserve">III Početna cijena nekretnine </w:t>
      </w:r>
      <w:r w:rsidR="007A5AF6">
        <w:t xml:space="preserve">utvrđuje se </w:t>
      </w:r>
      <w:r>
        <w:t xml:space="preserve">u iznosu od </w:t>
      </w:r>
      <w:r w:rsidR="005175E7" w:rsidRPr="005175E7">
        <w:rPr>
          <w:b/>
        </w:rPr>
        <w:t>460.128,08</w:t>
      </w:r>
      <w:r w:rsidR="00772BB1">
        <w:t xml:space="preserve"> </w:t>
      </w:r>
      <w:r w:rsidR="00086EB8" w:rsidRPr="002C4A24">
        <w:rPr>
          <w:b/>
        </w:rPr>
        <w:t>kn.</w:t>
      </w:r>
    </w:p>
    <w:p w:rsidR="0044359C" w:rsidRPr="00F07951" w:rsidRDefault="0044359C" w:rsidP="0044359C">
      <w:pPr>
        <w:ind w:left="708"/>
        <w:jc w:val="both"/>
        <w:rPr>
          <w:b/>
        </w:rPr>
      </w:pPr>
    </w:p>
    <w:p w:rsidR="007A5AF6" w:rsidRDefault="009C659B" w:rsidP="007A5AF6">
      <w:pPr>
        <w:ind w:firstLine="708"/>
        <w:jc w:val="both"/>
      </w:pPr>
      <w:r>
        <w:t xml:space="preserve">IV Ročište za javnu dražbu određuje se </w:t>
      </w:r>
      <w:r w:rsidR="002C4A24">
        <w:t>:</w:t>
      </w:r>
    </w:p>
    <w:p w:rsidR="009C659B" w:rsidRDefault="009C659B" w:rsidP="00974456">
      <w:pPr>
        <w:ind w:firstLine="708"/>
        <w:jc w:val="both"/>
        <w:rPr>
          <w:b/>
        </w:rPr>
      </w:pPr>
      <w:r>
        <w:t xml:space="preserve">za </w:t>
      </w:r>
      <w:r w:rsidR="00F07951">
        <w:rPr>
          <w:b/>
        </w:rPr>
        <w:t>dan</w:t>
      </w:r>
      <w:r w:rsidR="0044359C">
        <w:rPr>
          <w:b/>
        </w:rPr>
        <w:t xml:space="preserve"> </w:t>
      </w:r>
      <w:r w:rsidR="008511D8">
        <w:rPr>
          <w:b/>
        </w:rPr>
        <w:t>2</w:t>
      </w:r>
      <w:r w:rsidR="00464879">
        <w:rPr>
          <w:b/>
        </w:rPr>
        <w:t>2.studeni</w:t>
      </w:r>
      <w:r w:rsidR="0044359C">
        <w:rPr>
          <w:b/>
        </w:rPr>
        <w:t xml:space="preserve"> </w:t>
      </w:r>
      <w:r w:rsidR="00900636">
        <w:rPr>
          <w:b/>
        </w:rPr>
        <w:t>201</w:t>
      </w:r>
      <w:r w:rsidR="00673E28">
        <w:rPr>
          <w:b/>
        </w:rPr>
        <w:t>6</w:t>
      </w:r>
      <w:r w:rsidR="0044359C">
        <w:rPr>
          <w:b/>
        </w:rPr>
        <w:t>.</w:t>
      </w:r>
      <w:r w:rsidRPr="009C659B">
        <w:rPr>
          <w:b/>
        </w:rPr>
        <w:t xml:space="preserve"> u </w:t>
      </w:r>
      <w:r w:rsidR="008511D8">
        <w:rPr>
          <w:b/>
        </w:rPr>
        <w:t>10,</w:t>
      </w:r>
      <w:r w:rsidR="00464879">
        <w:rPr>
          <w:b/>
        </w:rPr>
        <w:t>3</w:t>
      </w:r>
      <w:r w:rsidR="008511D8">
        <w:rPr>
          <w:b/>
        </w:rPr>
        <w:t>0</w:t>
      </w:r>
      <w:r w:rsidR="00A65ED3">
        <w:rPr>
          <w:b/>
        </w:rPr>
        <w:t xml:space="preserve"> s</w:t>
      </w:r>
      <w:r w:rsidRPr="009C659B">
        <w:rPr>
          <w:b/>
        </w:rPr>
        <w:t>ati</w:t>
      </w:r>
      <w:r>
        <w:t xml:space="preserve"> u Trgovačkom sudu u Zagrebu, </w:t>
      </w:r>
      <w:r w:rsidRPr="00E919CC">
        <w:rPr>
          <w:b/>
        </w:rPr>
        <w:t xml:space="preserve">Petrinjska 8, soba </w:t>
      </w:r>
      <w:r w:rsidR="0066596C">
        <w:rPr>
          <w:b/>
        </w:rPr>
        <w:t>9</w:t>
      </w:r>
      <w:r w:rsidR="0044359C">
        <w:rPr>
          <w:b/>
        </w:rPr>
        <w:t>2</w:t>
      </w:r>
      <w:r w:rsidRPr="00E919CC">
        <w:rPr>
          <w:b/>
        </w:rPr>
        <w:t>/II.</w:t>
      </w:r>
      <w:r w:rsidR="0044359C">
        <w:rPr>
          <w:b/>
        </w:rPr>
        <w:t>,</w:t>
      </w:r>
    </w:p>
    <w:p w:rsidR="0044359C" w:rsidRPr="0044359C" w:rsidRDefault="0044359C" w:rsidP="00974456">
      <w:pPr>
        <w:ind w:firstLine="708"/>
        <w:jc w:val="both"/>
      </w:pPr>
    </w:p>
    <w:p w:rsidR="00A84C1A" w:rsidRPr="00645508" w:rsidRDefault="00A84C1A" w:rsidP="001B30E7">
      <w:pPr>
        <w:ind w:firstLine="708"/>
        <w:jc w:val="both"/>
      </w:pPr>
      <w:r w:rsidRPr="00645508">
        <w:t>V  Ovaj zaključak o prodaji objavit će se na oglasnoj ploči Trgovačkog suda u Zagrebu</w:t>
      </w:r>
      <w:r w:rsidR="00BC214C">
        <w:t xml:space="preserve">. </w:t>
      </w:r>
    </w:p>
    <w:p w:rsidR="00A84C1A" w:rsidRDefault="001B30E7" w:rsidP="00974456">
      <w:pPr>
        <w:ind w:firstLine="708"/>
        <w:jc w:val="both"/>
      </w:pPr>
      <w:r>
        <w:t>Nalaže se stečajnom upravitelju dostaviti odgovarajuće podatke o prodaji Hrvatskoj gospodarskoj komori.</w:t>
      </w:r>
    </w:p>
    <w:p w:rsidR="008D415D" w:rsidRDefault="008D415D" w:rsidP="00900636">
      <w:pPr>
        <w:ind w:firstLine="708"/>
        <w:jc w:val="both"/>
      </w:pPr>
    </w:p>
    <w:p w:rsidR="00A84C1A" w:rsidRPr="00645508" w:rsidRDefault="00A84C1A" w:rsidP="00900636">
      <w:pPr>
        <w:ind w:firstLine="708"/>
        <w:jc w:val="both"/>
      </w:pPr>
      <w:r w:rsidRPr="00645508">
        <w:t>V</w:t>
      </w:r>
      <w:r w:rsidR="009C659B">
        <w:t>I</w:t>
      </w:r>
      <w:r w:rsidRPr="00645508">
        <w:t xml:space="preserve">   UVJETI PRODAJE:</w:t>
      </w:r>
    </w:p>
    <w:p w:rsidR="000E77FF" w:rsidRPr="00645508" w:rsidRDefault="00900636" w:rsidP="00900636">
      <w:pPr>
        <w:ind w:firstLine="708"/>
        <w:jc w:val="both"/>
      </w:pPr>
      <w:r>
        <w:t>1.K</w:t>
      </w:r>
      <w:r w:rsidR="00A84C1A" w:rsidRPr="00645508">
        <w:t xml:space="preserve">ao kupci mogu sudjelovati samo osobe koje su </w:t>
      </w:r>
      <w:r w:rsidR="00062F3C" w:rsidRPr="00645508">
        <w:t>najkasnije tri</w:t>
      </w:r>
      <w:r w:rsidR="00A84C1A" w:rsidRPr="00645508">
        <w:t xml:space="preserve"> dana prije dana održavanja ročišta za dražbu uplatile  jamčevinu u iznosu od 10 % </w:t>
      </w:r>
      <w:r w:rsidR="00823013">
        <w:t>početne cijene</w:t>
      </w:r>
      <w:r w:rsidR="00A84C1A" w:rsidRPr="00645508">
        <w:t xml:space="preserve"> nekretnin</w:t>
      </w:r>
      <w:r w:rsidR="00823013">
        <w:t>e određene u točci III ovog zaključka</w:t>
      </w:r>
      <w:r w:rsidR="00A84C1A" w:rsidRPr="00645508">
        <w:t xml:space="preserve"> </w:t>
      </w:r>
      <w:r w:rsidR="000E77FF" w:rsidRPr="00645508">
        <w:t xml:space="preserve">na račun sudskog depozita Trgovačkog </w:t>
      </w:r>
      <w:r w:rsidR="000E77FF" w:rsidRPr="00645508">
        <w:lastRenderedPageBreak/>
        <w:t xml:space="preserve">suda u Zagrebu </w:t>
      </w:r>
      <w:r w:rsidR="00645508">
        <w:t>otvoren kod</w:t>
      </w:r>
      <w:r w:rsidR="000E77FF" w:rsidRPr="00645508">
        <w:t xml:space="preserve"> Hrvatsk</w:t>
      </w:r>
      <w:r w:rsidR="00645508">
        <w:t>e</w:t>
      </w:r>
      <w:r w:rsidR="000E77FF" w:rsidRPr="00645508">
        <w:t xml:space="preserve"> poštansk</w:t>
      </w:r>
      <w:r w:rsidR="00645508">
        <w:t>e</w:t>
      </w:r>
      <w:r w:rsidR="000E77FF" w:rsidRPr="00645508">
        <w:t xml:space="preserve"> ban</w:t>
      </w:r>
      <w:r w:rsidR="00645508">
        <w:t>ke</w:t>
      </w:r>
      <w:r w:rsidR="000E77FF" w:rsidRPr="00645508">
        <w:t xml:space="preserve"> d.d. Zagreb</w:t>
      </w:r>
      <w:r w:rsidR="00645508">
        <w:t xml:space="preserve"> </w:t>
      </w:r>
      <w:r w:rsidR="000E77FF" w:rsidRPr="00645508">
        <w:t xml:space="preserve"> broj </w:t>
      </w:r>
      <w:r w:rsidR="000750B4">
        <w:t>HR92</w:t>
      </w:r>
      <w:r w:rsidR="000E77FF" w:rsidRPr="00645508">
        <w:t xml:space="preserve"> 2390001-1300000460 poziv na broj 05 </w:t>
      </w:r>
      <w:r w:rsidR="007A5AF6">
        <w:t>1666</w:t>
      </w:r>
      <w:r w:rsidR="0044359C">
        <w:t>/13</w:t>
      </w:r>
      <w:r w:rsidR="000E77FF" w:rsidRPr="00645508">
        <w:t xml:space="preserve"> dokaz o tome predoče stečajnom sucu prije početka dražbe.</w:t>
      </w:r>
    </w:p>
    <w:p w:rsidR="00A84C1A" w:rsidRPr="00645508" w:rsidRDefault="00A84C1A" w:rsidP="00974456">
      <w:pPr>
        <w:ind w:firstLine="708"/>
        <w:jc w:val="both"/>
      </w:pPr>
      <w:r w:rsidRPr="00645508">
        <w:t>Jamčevinu nisu dužni položiti razlučni vjerovnici kojima je to pravo upisano u  zemljišnim knjigama.</w:t>
      </w:r>
    </w:p>
    <w:p w:rsidR="00A84C1A" w:rsidRPr="00645508" w:rsidRDefault="00900636" w:rsidP="00974456">
      <w:pPr>
        <w:jc w:val="both"/>
      </w:pPr>
      <w:r>
        <w:t>2</w:t>
      </w:r>
      <w:r w:rsidR="00A84C1A" w:rsidRPr="00645508">
        <w:t xml:space="preserve">. </w:t>
      </w:r>
      <w:r w:rsidR="00974456" w:rsidRPr="00645508">
        <w:tab/>
      </w:r>
      <w:r w:rsidR="00A84C1A" w:rsidRPr="00645508">
        <w:t xml:space="preserve">Kupac je dužan uplatiti razliku između jamčevine i postignute kupoprodajne cijene u  roku od </w:t>
      </w:r>
      <w:r w:rsidR="00062F3C" w:rsidRPr="00645508">
        <w:t xml:space="preserve">15 dana </w:t>
      </w:r>
      <w:r w:rsidR="00A84C1A" w:rsidRPr="00645508">
        <w:t xml:space="preserve">od </w:t>
      </w:r>
      <w:r w:rsidR="00062F3C" w:rsidRPr="00645508">
        <w:t>pravomoćnosti rješenja o dosudi na račun sud</w:t>
      </w:r>
      <w:r w:rsidR="00047093" w:rsidRPr="00645508">
        <w:t>skog depozita iz točke V</w:t>
      </w:r>
      <w:r w:rsidR="00823013">
        <w:t>I</w:t>
      </w:r>
      <w:r w:rsidR="00047093" w:rsidRPr="00645508">
        <w:t xml:space="preserve"> </w:t>
      </w:r>
      <w:r w:rsidR="00BC214C">
        <w:t>2</w:t>
      </w:r>
      <w:r w:rsidR="00047093" w:rsidRPr="00645508">
        <w:t xml:space="preserve">. ovog zaključka. </w:t>
      </w:r>
    </w:p>
    <w:p w:rsidR="00A84C1A" w:rsidRPr="00645508" w:rsidRDefault="00A84C1A" w:rsidP="00974456">
      <w:pPr>
        <w:jc w:val="both"/>
      </w:pPr>
      <w:r w:rsidRPr="00645508">
        <w:t xml:space="preserve">    </w:t>
      </w:r>
      <w:r w:rsidRPr="00645508">
        <w:tab/>
        <w:t>Ako kupac u tom roku ne položi kupovninu sud će posebnim rješenjem prodaju oglasiti  nevažećom i odrediti novu prodaju uz uvjete određene za prodaju koja je oglašena nevažećom, a iz položene jamčevine namirit će se troškovi nove prodaje i naknaditi razlika između kupovnine postignute na prijašnjoj prodaji</w:t>
      </w:r>
      <w:r w:rsidR="00974456" w:rsidRPr="00645508">
        <w:t xml:space="preserve"> </w:t>
      </w:r>
      <w:r w:rsidRPr="00645508">
        <w:t xml:space="preserve"> i  novoj prodaji.</w:t>
      </w:r>
    </w:p>
    <w:p w:rsidR="00A84C1A" w:rsidRDefault="00900636" w:rsidP="00974456">
      <w:pPr>
        <w:jc w:val="both"/>
      </w:pPr>
      <w:r>
        <w:t>3</w:t>
      </w:r>
      <w:r w:rsidR="00A84C1A" w:rsidRPr="00645508">
        <w:t xml:space="preserve">. </w:t>
      </w:r>
      <w:r w:rsidR="00361730" w:rsidRPr="00645508">
        <w:tab/>
      </w:r>
      <w:r w:rsidR="00A84C1A" w:rsidRPr="00645508">
        <w:t xml:space="preserve">Ukoliko je kupac razlučni vjerovnik koji se jedini namiruje iz kupovnine ili se </w:t>
      </w:r>
      <w:r w:rsidR="00361730" w:rsidRPr="00645508">
        <w:t xml:space="preserve"> </w:t>
      </w:r>
      <w:r w:rsidR="00A84C1A" w:rsidRPr="00645508">
        <w:t>namiruje prije tražbina svih ostalih vjerovnika koji imaju pravo na namirenje iz iste   kupovnine, nije dužan položiti kupovninu ako ona iznosi koliko i njegova  tražbina ili manje</w:t>
      </w:r>
      <w:r w:rsidR="007D16E7">
        <w:t>. A</w:t>
      </w:r>
      <w:r w:rsidR="00A84C1A" w:rsidRPr="00645508">
        <w:t>ko</w:t>
      </w:r>
      <w:r w:rsidR="007D16E7">
        <w:t xml:space="preserve"> kupovnina</w:t>
      </w:r>
      <w:r w:rsidR="00A84C1A" w:rsidRPr="00645508">
        <w:t xml:space="preserve"> iznosi više</w:t>
      </w:r>
      <w:r w:rsidR="007D16E7">
        <w:t xml:space="preserve"> od njegove tražbine razlučni</w:t>
      </w:r>
      <w:r w:rsidR="00A84C1A" w:rsidRPr="00645508">
        <w:t xml:space="preserve"> je</w:t>
      </w:r>
      <w:r w:rsidR="007D16E7">
        <w:t xml:space="preserve"> vjerovnik</w:t>
      </w:r>
      <w:r w:rsidR="00A84C1A" w:rsidRPr="00645508">
        <w:t xml:space="preserve"> dužan položiti razliku</w:t>
      </w:r>
      <w:r w:rsidR="00D3205F">
        <w:t xml:space="preserve">. Razlučni vjerovnik </w:t>
      </w:r>
      <w:r w:rsidR="00274521">
        <w:t>dužan je položiti onaj iznos kupovnine koji odgovara iznosu</w:t>
      </w:r>
      <w:r w:rsidR="00D3205F">
        <w:t xml:space="preserve"> t</w:t>
      </w:r>
      <w:r w:rsidR="008F701B">
        <w:t>roškov</w:t>
      </w:r>
      <w:r w:rsidR="00274521">
        <w:t>a</w:t>
      </w:r>
      <w:r w:rsidR="008F701B">
        <w:t xml:space="preserve"> iz čl. 170. SZ-a</w:t>
      </w:r>
      <w:r w:rsidR="007D16E7">
        <w:t>.</w:t>
      </w:r>
    </w:p>
    <w:p w:rsidR="00A84C1A" w:rsidRPr="00645508" w:rsidRDefault="00900636" w:rsidP="00974456">
      <w:pPr>
        <w:jc w:val="both"/>
      </w:pPr>
      <w:r>
        <w:t>4</w:t>
      </w:r>
      <w:r w:rsidR="00A84C1A" w:rsidRPr="00645508">
        <w:t xml:space="preserve">. </w:t>
      </w:r>
      <w:r w:rsidR="00974456" w:rsidRPr="00645508">
        <w:tab/>
      </w:r>
      <w:r w:rsidR="00A84C1A" w:rsidRPr="00645508">
        <w:t>Nekretnin</w:t>
      </w:r>
      <w:r w:rsidR="00696C63" w:rsidRPr="00645508">
        <w:t>a</w:t>
      </w:r>
      <w:r w:rsidR="00A84C1A" w:rsidRPr="00645508">
        <w:t xml:space="preserve"> će se rješenjem o dosudi dosuditi kupcu koji ponudi najpovoljniju cijenu</w:t>
      </w:r>
    </w:p>
    <w:p w:rsidR="00A84C1A" w:rsidRPr="00645508" w:rsidRDefault="00A84C1A" w:rsidP="00974456">
      <w:pPr>
        <w:jc w:val="both"/>
      </w:pPr>
      <w:r w:rsidRPr="00645508">
        <w:tab/>
        <w:t>Nekretnina će se dosuditi i kupcima koji su ponud</w:t>
      </w:r>
      <w:r w:rsidR="00696C63" w:rsidRPr="00645508">
        <w:t>i</w:t>
      </w:r>
      <w:r w:rsidRPr="00645508">
        <w:t xml:space="preserve">li nižu cijenu (ali ne i nižu od one početne na ovom ročištu za prodaju)  prema </w:t>
      </w:r>
      <w:r w:rsidR="008F701B">
        <w:t xml:space="preserve">iznosu </w:t>
      </w:r>
      <w:r w:rsidRPr="00645508">
        <w:t>ponuđene cijene, ako kupci koji su ponudili veću cijenu ne polože kupovninu u roku iz točke  V</w:t>
      </w:r>
      <w:r w:rsidR="00BC214C">
        <w:t>I</w:t>
      </w:r>
      <w:r w:rsidRPr="00645508">
        <w:t xml:space="preserve"> </w:t>
      </w:r>
      <w:r w:rsidR="00BC214C">
        <w:t>3</w:t>
      </w:r>
      <w:r w:rsidRPr="00645508">
        <w:t>.</w:t>
      </w:r>
    </w:p>
    <w:p w:rsidR="00A84C1A" w:rsidRPr="00645508" w:rsidRDefault="00900636" w:rsidP="00974456">
      <w:pPr>
        <w:jc w:val="both"/>
      </w:pPr>
      <w:r>
        <w:t>5</w:t>
      </w:r>
      <w:r w:rsidR="00A84C1A" w:rsidRPr="00645508">
        <w:t xml:space="preserve">. </w:t>
      </w:r>
      <w:r w:rsidR="00361730" w:rsidRPr="00645508">
        <w:tab/>
      </w:r>
      <w:r w:rsidR="00A84C1A" w:rsidRPr="00645508">
        <w:t>Osoba koja ima zakonsko ili ugovorno pravo prvokupa upisano u zemljišnim knjigama ima prednost pred najpovoljnijim ponuditeljem ako odmah po zaključenju dražbe izjavi da nekretninu kupuje uz iste uvjete.</w:t>
      </w:r>
    </w:p>
    <w:p w:rsidR="00A84C1A" w:rsidRPr="00645508" w:rsidRDefault="00900636" w:rsidP="00974456">
      <w:pPr>
        <w:jc w:val="both"/>
      </w:pPr>
      <w:r>
        <w:t>6.</w:t>
      </w:r>
      <w:r w:rsidR="00A84C1A" w:rsidRPr="00645508">
        <w:t xml:space="preserve"> </w:t>
      </w:r>
      <w:r w:rsidR="00361730" w:rsidRPr="00645508">
        <w:tab/>
      </w:r>
      <w:r w:rsidR="00A84C1A" w:rsidRPr="00645508">
        <w:t xml:space="preserve">U rješenju o dosudi nekretnina sud će odrediti da </w:t>
      </w:r>
      <w:r w:rsidR="00645508">
        <w:t xml:space="preserve">će </w:t>
      </w:r>
      <w:r w:rsidR="00A84C1A" w:rsidRPr="00645508">
        <w:t>se nakon pravomoćnosti toga rješenja i nakon što kupac položi kupovninu, u zemljišnim knjigama upisati u njegovu korist pravo vlasništva na dosuđenim nekretninama, te brisati prava i teret</w:t>
      </w:r>
      <w:r w:rsidR="00645508">
        <w:t>i</w:t>
      </w:r>
      <w:r w:rsidR="00A84C1A" w:rsidRPr="00645508">
        <w:t xml:space="preserve"> na nekretninama koji prestaju njihovom prodajom.</w:t>
      </w:r>
    </w:p>
    <w:p w:rsidR="00A84C1A" w:rsidRPr="00645508" w:rsidRDefault="00900636" w:rsidP="00974456">
      <w:pPr>
        <w:jc w:val="both"/>
      </w:pPr>
      <w:r>
        <w:t>7</w:t>
      </w:r>
      <w:r w:rsidR="00A84C1A" w:rsidRPr="00645508">
        <w:t xml:space="preserve">. </w:t>
      </w:r>
      <w:r w:rsidR="00361730" w:rsidRPr="00645508">
        <w:tab/>
      </w:r>
      <w:r w:rsidR="00A84C1A" w:rsidRPr="00645508">
        <w:t>Nakon pravomoćnosti rješenja o dosudi i nakon što kupac položi kupovninu sud će donijeti zaključak o predaji nekretnina kupcu, čime kupac stupa u posjed istih.</w:t>
      </w:r>
    </w:p>
    <w:p w:rsidR="00A84C1A" w:rsidRPr="00645508" w:rsidRDefault="00900636" w:rsidP="00974456">
      <w:pPr>
        <w:jc w:val="both"/>
      </w:pPr>
      <w:r>
        <w:t>8</w:t>
      </w:r>
      <w:r w:rsidR="00A84C1A" w:rsidRPr="00645508">
        <w:t xml:space="preserve">. </w:t>
      </w:r>
      <w:r w:rsidR="00361730" w:rsidRPr="00645508">
        <w:tab/>
      </w:r>
      <w:r w:rsidR="00A84C1A" w:rsidRPr="00645508">
        <w:t>Ako kupac radi plaćanja kupovnine treba uzeti kredit, sud će na prijedlog kupca već u rješenju o dosudi odrediti da će se nakon pravomoćnosti rješenja o dosudi te nakon što kupovnina bude položena, u zemljišnim knjigama prilikom upisa prava vlasništva u korist kupca upisati i založno pravo na nekretninama radi osiguranja tražbine po osnovi kredita u korist davatelja kredita u skladu sa sporazumom o osiguranju.</w:t>
      </w:r>
    </w:p>
    <w:p w:rsidR="00A84C1A" w:rsidRPr="00645508" w:rsidRDefault="00A84C1A" w:rsidP="00974456">
      <w:pPr>
        <w:ind w:firstLine="708"/>
        <w:jc w:val="both"/>
      </w:pPr>
      <w:r w:rsidRPr="00645508">
        <w:t>U slučaju osiguranja kredita prijenosom vlasništva na nekretninama, sud će u rješenju o dosudi odrediti da će se u zemljišnim knjigama nakon pravomoćnosti rješenja o dosudi te  nakon što kupovnina bude položena, u zemljišnim knjigama najprije upisati pravo vlasništva kupca, a zatim prijenos vlasništva na davatelja kredita uz zabilježbu da se prijenos obavlja radi osiguranja.</w:t>
      </w:r>
    </w:p>
    <w:p w:rsidR="00A84C1A" w:rsidRPr="00645508" w:rsidRDefault="00900636" w:rsidP="00974456">
      <w:pPr>
        <w:jc w:val="both"/>
      </w:pPr>
      <w:r>
        <w:t>9</w:t>
      </w:r>
      <w:r w:rsidR="00A84C1A" w:rsidRPr="00645508">
        <w:t xml:space="preserve">. </w:t>
      </w:r>
      <w:r w:rsidR="00361730" w:rsidRPr="00645508">
        <w:tab/>
      </w:r>
      <w:r w:rsidR="00A84C1A" w:rsidRPr="00645508">
        <w:t>Prodaja se obavlja po načelu «viđeno-kupljeno», što isključuje sve naknadne</w:t>
      </w:r>
    </w:p>
    <w:p w:rsidR="00A84C1A" w:rsidRPr="00645508" w:rsidRDefault="00A84C1A" w:rsidP="00974456">
      <w:pPr>
        <w:jc w:val="both"/>
      </w:pPr>
      <w:r w:rsidRPr="00645508">
        <w:t>prigovore kupca.</w:t>
      </w:r>
    </w:p>
    <w:p w:rsidR="00A84C1A" w:rsidRDefault="00A84C1A" w:rsidP="00974456">
      <w:pPr>
        <w:jc w:val="both"/>
      </w:pPr>
      <w:r w:rsidRPr="00645508">
        <w:t xml:space="preserve">     </w:t>
      </w:r>
      <w:r w:rsidR="00361730" w:rsidRPr="00645508">
        <w:tab/>
      </w:r>
      <w:r w:rsidRPr="00645508">
        <w:t>Razgledati nekretnine i dokumentaciju vezanu uz iste, zainteresirane osobe mogu u vrijeme dogovoreno sa stečajnim upraviteljem na tel.br.</w:t>
      </w:r>
      <w:r w:rsidR="00D3205F">
        <w:t xml:space="preserve"> </w:t>
      </w:r>
      <w:r w:rsidR="007A5AF6">
        <w:t>098/</w:t>
      </w:r>
      <w:r w:rsidR="00BB2D8F">
        <w:t>4222-547</w:t>
      </w:r>
      <w:r w:rsidR="005D56F9">
        <w:t xml:space="preserve"> u</w:t>
      </w:r>
      <w:r w:rsidR="000E77FF" w:rsidRPr="00645508">
        <w:t>z prethodnu uplat</w:t>
      </w:r>
      <w:r w:rsidR="00062F3C" w:rsidRPr="00645508">
        <w:t>u naknade u</w:t>
      </w:r>
      <w:r w:rsidR="00645508">
        <w:t xml:space="preserve"> iznosu 500,00 kn na žiro račun</w:t>
      </w:r>
      <w:r w:rsidR="00062F3C" w:rsidRPr="00645508">
        <w:t xml:space="preserve"> stečajnog dužnika.</w:t>
      </w:r>
    </w:p>
    <w:p w:rsidR="0044359C" w:rsidRDefault="0044359C" w:rsidP="00974456">
      <w:pPr>
        <w:jc w:val="both"/>
      </w:pPr>
    </w:p>
    <w:p w:rsidR="005D56F9" w:rsidRDefault="005D56F9" w:rsidP="00974456">
      <w:pPr>
        <w:jc w:val="both"/>
      </w:pPr>
    </w:p>
    <w:p w:rsidR="008D415D" w:rsidRDefault="008D415D" w:rsidP="00361730">
      <w:pPr>
        <w:jc w:val="center"/>
      </w:pPr>
    </w:p>
    <w:p w:rsidR="00A84C1A" w:rsidRDefault="00A84C1A" w:rsidP="00361730">
      <w:pPr>
        <w:jc w:val="center"/>
      </w:pPr>
      <w:r w:rsidRPr="00645508">
        <w:lastRenderedPageBreak/>
        <w:t>Obrazloženje</w:t>
      </w:r>
    </w:p>
    <w:p w:rsidR="00F868C9" w:rsidRPr="00645508" w:rsidRDefault="00F868C9" w:rsidP="00974456">
      <w:pPr>
        <w:jc w:val="both"/>
      </w:pPr>
    </w:p>
    <w:p w:rsidR="00BC214C" w:rsidRDefault="00A84C1A" w:rsidP="00974456">
      <w:pPr>
        <w:jc w:val="both"/>
      </w:pPr>
      <w:r w:rsidRPr="00645508">
        <w:tab/>
        <w:t>Rješenjem ovog suda broj St-</w:t>
      </w:r>
      <w:r w:rsidR="007A5AF6">
        <w:t>1666/13</w:t>
      </w:r>
      <w:r w:rsidRPr="00645508">
        <w:t xml:space="preserve"> od </w:t>
      </w:r>
      <w:r w:rsidR="007A5AF6">
        <w:t>30. prosinca</w:t>
      </w:r>
      <w:r w:rsidR="0044359C">
        <w:t xml:space="preserve"> 2014.</w:t>
      </w:r>
      <w:r w:rsidRPr="00645508">
        <w:t xml:space="preserve"> otvoren je stečajni postupak nad gore navedenim stečajnim dužnikom, a stečajnu masu između ostalog čine i nekretnine koje su predmet ove prodaje, a na kojima je upisano razlučno pravo </w:t>
      </w:r>
      <w:r w:rsidR="00BC214C">
        <w:t xml:space="preserve">za </w:t>
      </w:r>
      <w:r w:rsidRPr="00645508">
        <w:t xml:space="preserve">korist </w:t>
      </w:r>
      <w:r w:rsidR="00BC214C">
        <w:t xml:space="preserve">vjerovnika naznačenih u izreci rješenja. </w:t>
      </w:r>
    </w:p>
    <w:p w:rsidR="00CB2481" w:rsidRDefault="00A84C1A" w:rsidP="00974456">
      <w:pPr>
        <w:jc w:val="both"/>
      </w:pPr>
      <w:r w:rsidRPr="00645508">
        <w:tab/>
        <w:t xml:space="preserve">Stečajni je upravitelj podnio ovome sudu </w:t>
      </w:r>
      <w:r w:rsidR="00BC214C">
        <w:t xml:space="preserve">dana </w:t>
      </w:r>
      <w:r w:rsidR="00CD57A7">
        <w:t>21. studenog 2014</w:t>
      </w:r>
      <w:r w:rsidR="0044359C">
        <w:t>.</w:t>
      </w:r>
      <w:r w:rsidR="00BC214C">
        <w:t xml:space="preserve"> </w:t>
      </w:r>
      <w:r w:rsidRPr="00645508">
        <w:t xml:space="preserve">prijedlog da se nekretnine opisane u točci </w:t>
      </w:r>
      <w:r w:rsidR="00645508">
        <w:t>I</w:t>
      </w:r>
      <w:r w:rsidRPr="00645508">
        <w:t xml:space="preserve">. ovog zaključka prodaju uz odgovarajuću primjenu pravila o ovrsi na nekretninama, sve sukladno čl.164. st.1 Stečajnog zakona (NN 44/96 do </w:t>
      </w:r>
      <w:r w:rsidR="00CB2481">
        <w:t>133/12,</w:t>
      </w:r>
      <w:r w:rsidRPr="00645508">
        <w:t xml:space="preserve"> dalje SZ)</w:t>
      </w:r>
      <w:r w:rsidR="00CB2481">
        <w:t>.</w:t>
      </w:r>
    </w:p>
    <w:p w:rsidR="00086EB8" w:rsidRDefault="00823013" w:rsidP="00974456">
      <w:pPr>
        <w:jc w:val="both"/>
      </w:pPr>
      <w:r>
        <w:tab/>
        <w:t xml:space="preserve">Prema čl. </w:t>
      </w:r>
      <w:smartTag w:uri="urn:schemas-microsoft-com:office:smarttags" w:element="metricconverter">
        <w:smartTagPr>
          <w:attr w:name="ProductID" w:val="164. st"/>
        </w:smartTagPr>
        <w:r>
          <w:t>164. st</w:t>
        </w:r>
      </w:smartTag>
      <w:r>
        <w:t>. 3. SZ</w:t>
      </w:r>
      <w:r w:rsidR="00086EB8">
        <w:t xml:space="preserve"> o prodaji odlučuje stečajni sudac rješenjem protiv kojeg pravo žalbe imaju stečajni upravitelj i razlučni vjerovnici, a prema stavku 3. istog čl</w:t>
      </w:r>
      <w:r w:rsidR="00136031">
        <w:t>a</w:t>
      </w:r>
      <w:r w:rsidR="00086EB8">
        <w:t>nka stečajni sudac će zaključkom o prodaji utvrditi vrijednost nekretnine, način prodaje i uvjete prodaje.</w:t>
      </w:r>
    </w:p>
    <w:p w:rsidR="00142559" w:rsidRDefault="00823013" w:rsidP="00823013">
      <w:pPr>
        <w:ind w:firstLine="708"/>
        <w:jc w:val="both"/>
      </w:pPr>
      <w:r>
        <w:t>Sukladno prijedlogu stečajnog upravitelja</w:t>
      </w:r>
      <w:r w:rsidR="00142559">
        <w:t xml:space="preserve"> od </w:t>
      </w:r>
      <w:r w:rsidR="00464879">
        <w:t>17.listopada</w:t>
      </w:r>
      <w:r w:rsidR="00142559">
        <w:t xml:space="preserve"> 201</w:t>
      </w:r>
      <w:r w:rsidR="00654E6E">
        <w:t>6</w:t>
      </w:r>
      <w:r w:rsidR="00142559">
        <w:t xml:space="preserve">. određena je početna cijena ove </w:t>
      </w:r>
      <w:r w:rsidR="00464879">
        <w:t>sedme</w:t>
      </w:r>
      <w:r w:rsidR="00142559">
        <w:t xml:space="preserve"> javne dražbe. </w:t>
      </w:r>
    </w:p>
    <w:p w:rsidR="00086EB8" w:rsidRDefault="00823013" w:rsidP="00823013">
      <w:pPr>
        <w:ind w:firstLine="708"/>
        <w:jc w:val="both"/>
      </w:pPr>
      <w:r>
        <w:t xml:space="preserve"> </w:t>
      </w:r>
      <w:r w:rsidR="00086EB8">
        <w:t>Prema članku 164. stavak 5. SZ-a kada s imovine prodaje u stečajnom postupku rok od objave za</w:t>
      </w:r>
      <w:r w:rsidR="00E2581B">
        <w:t xml:space="preserve">ključka na oglasnoj ploči suda </w:t>
      </w:r>
      <w:r w:rsidR="00086EB8">
        <w:t>d</w:t>
      </w:r>
      <w:r w:rsidR="00E2581B">
        <w:t>o</w:t>
      </w:r>
      <w:r w:rsidR="00086EB8">
        <w:t xml:space="preserve"> prodaje iznosi 15 dana.</w:t>
      </w:r>
    </w:p>
    <w:p w:rsidR="00B75233" w:rsidRDefault="00A84C1A" w:rsidP="00974456">
      <w:pPr>
        <w:jc w:val="both"/>
      </w:pPr>
      <w:r w:rsidRPr="00645508">
        <w:tab/>
      </w:r>
      <w:r w:rsidR="00B75233">
        <w:t>O</w:t>
      </w:r>
      <w:r w:rsidRPr="00645508">
        <w:t xml:space="preserve"> uvjetima i načinu prodaje odlučeno je temeljem odredb</w:t>
      </w:r>
      <w:r w:rsidR="00274521">
        <w:t>i</w:t>
      </w:r>
      <w:r w:rsidRPr="00645508">
        <w:t xml:space="preserve">  čl. </w:t>
      </w:r>
      <w:r w:rsidR="009A6E63">
        <w:t>9</w:t>
      </w:r>
      <w:r w:rsidR="0044359C">
        <w:t>5-103</w:t>
      </w:r>
      <w:r w:rsidR="00B75233">
        <w:t xml:space="preserve"> O</w:t>
      </w:r>
      <w:r w:rsidR="00086EB8">
        <w:t xml:space="preserve">vršnog zakona (NN br. </w:t>
      </w:r>
      <w:r w:rsidR="0044359C">
        <w:t>112</w:t>
      </w:r>
      <w:r w:rsidR="00B75233">
        <w:t>/12)</w:t>
      </w:r>
    </w:p>
    <w:p w:rsidR="00823013" w:rsidRPr="00645508" w:rsidRDefault="00823013" w:rsidP="00974456">
      <w:pPr>
        <w:jc w:val="both"/>
      </w:pPr>
      <w:r>
        <w:tab/>
        <w:t xml:space="preserve">Slijedom obrazloženog temeljem odredbe čl. </w:t>
      </w:r>
      <w:smartTag w:uri="urn:schemas-microsoft-com:office:smarttags" w:element="metricconverter">
        <w:smartTagPr>
          <w:attr w:name="ProductID" w:val="164. st"/>
        </w:smartTagPr>
        <w:r>
          <w:t>164. st</w:t>
        </w:r>
      </w:smartTag>
      <w:r>
        <w:t>. 1. SZ, odlučeno je kao u izreci.</w:t>
      </w:r>
    </w:p>
    <w:p w:rsidR="00A84C1A" w:rsidRPr="00645508" w:rsidRDefault="00A84C1A" w:rsidP="00361730">
      <w:pPr>
        <w:jc w:val="center"/>
      </w:pPr>
      <w:r w:rsidRPr="00645508">
        <w:t xml:space="preserve">Zagreb, </w:t>
      </w:r>
      <w:r w:rsidR="00EE017A">
        <w:t>20.listopada</w:t>
      </w:r>
      <w:r w:rsidR="005A6EB9">
        <w:t xml:space="preserve"> </w:t>
      </w:r>
      <w:r w:rsidR="007A5AF6">
        <w:t>201</w:t>
      </w:r>
      <w:r w:rsidR="005A6EB9">
        <w:t>6</w:t>
      </w:r>
      <w:r w:rsidR="007A5AF6">
        <w:t>.</w:t>
      </w:r>
    </w:p>
    <w:p w:rsidR="00A84C1A" w:rsidRPr="00645508" w:rsidRDefault="00A84C1A" w:rsidP="00974456">
      <w:pPr>
        <w:jc w:val="both"/>
      </w:pPr>
      <w:r w:rsidRPr="00645508">
        <w:tab/>
      </w:r>
      <w:r w:rsidRPr="00645508">
        <w:tab/>
      </w:r>
      <w:r w:rsidRPr="00645508">
        <w:tab/>
      </w:r>
      <w:r w:rsidRPr="00645508">
        <w:tab/>
      </w:r>
      <w:r w:rsidRPr="00645508">
        <w:tab/>
      </w:r>
      <w:r w:rsidRPr="00645508">
        <w:tab/>
      </w:r>
      <w:r w:rsidRPr="00645508">
        <w:tab/>
      </w:r>
      <w:r w:rsidRPr="00645508">
        <w:tab/>
      </w:r>
      <w:r w:rsidRPr="00645508">
        <w:tab/>
      </w:r>
      <w:r w:rsidR="00086EB8" w:rsidRPr="00645508">
        <w:t>Sudac:</w:t>
      </w:r>
    </w:p>
    <w:p w:rsidR="00654294" w:rsidRDefault="00736EF6" w:rsidP="00B408B7">
      <w:pPr>
        <w:ind w:left="4248" w:firstLine="708"/>
        <w:jc w:val="center"/>
      </w:pPr>
      <w:r>
        <w:tab/>
      </w:r>
      <w:r w:rsidR="00A84C1A" w:rsidRPr="00645508">
        <w:t>Ante Galić</w:t>
      </w:r>
      <w:r w:rsidR="00B408B7">
        <w:t xml:space="preserve"> </w:t>
      </w:r>
      <w:r w:rsidR="00E77699">
        <w:t>v.r.</w:t>
      </w:r>
    </w:p>
    <w:p w:rsidR="00A84C1A" w:rsidRPr="00645508" w:rsidRDefault="00086EB8" w:rsidP="00974456">
      <w:pPr>
        <w:jc w:val="both"/>
      </w:pPr>
      <w:r>
        <w:t>U</w:t>
      </w:r>
      <w:r w:rsidRPr="00645508">
        <w:t>puta o pravnom lijeku</w:t>
      </w:r>
      <w:r w:rsidR="00A84C1A" w:rsidRPr="00645508">
        <w:t>:</w:t>
      </w:r>
    </w:p>
    <w:p w:rsidR="00A84C1A" w:rsidRDefault="00A84C1A" w:rsidP="00974456">
      <w:pPr>
        <w:jc w:val="both"/>
      </w:pPr>
      <w:r w:rsidRPr="00645508">
        <w:t>Protiv ovog zaključka nije dopuštena žalba (čl.11.st.9. SZ).</w:t>
      </w:r>
    </w:p>
    <w:p w:rsidR="00DC7D12" w:rsidRDefault="00DC7D12" w:rsidP="00974456">
      <w:pPr>
        <w:jc w:val="both"/>
      </w:pPr>
    </w:p>
    <w:p w:rsidR="00E77699" w:rsidRDefault="00E77699" w:rsidP="00422EE0">
      <w:pPr>
        <w:jc w:val="both"/>
      </w:pPr>
      <w:r>
        <w:t>Za točnost otpravka, ovlašteni službenik:</w:t>
      </w:r>
    </w:p>
    <w:p w:rsidR="00E77699" w:rsidRDefault="00E77699" w:rsidP="00422EE0">
      <w:pPr>
        <w:jc w:val="both"/>
      </w:pPr>
      <w:r>
        <w:t xml:space="preserve">               Valentina Delač</w:t>
      </w:r>
    </w:p>
    <w:p w:rsidR="00DC7D12" w:rsidRDefault="00DC7D12" w:rsidP="00E77699">
      <w:pPr>
        <w:ind w:left="720"/>
        <w:jc w:val="both"/>
      </w:pPr>
      <w:bookmarkStart w:id="0" w:name="_GoBack"/>
      <w:bookmarkEnd w:id="0"/>
    </w:p>
    <w:p w:rsidR="00DC7D12" w:rsidRPr="00645508" w:rsidRDefault="00DC7D12" w:rsidP="00DC7D12">
      <w:pPr>
        <w:jc w:val="both"/>
      </w:pPr>
    </w:p>
    <w:sectPr w:rsidR="00DC7D12" w:rsidRPr="00645508" w:rsidSect="00167C21">
      <w:headerReference w:type="even" r:id="rId8"/>
      <w:headerReference w:type="default" r:id="rId9"/>
      <w:pgSz w:w="11906" w:h="16838"/>
      <w:pgMar w:top="1618" w:right="1418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CA" w:rsidRDefault="008F41CA">
      <w:r>
        <w:separator/>
      </w:r>
    </w:p>
  </w:endnote>
  <w:endnote w:type="continuationSeparator" w:id="0">
    <w:p w:rsidR="008F41CA" w:rsidRDefault="008F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CA" w:rsidRDefault="008F41CA">
      <w:r>
        <w:separator/>
      </w:r>
    </w:p>
  </w:footnote>
  <w:footnote w:type="continuationSeparator" w:id="0">
    <w:p w:rsidR="008F41CA" w:rsidRDefault="008F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A" w:rsidRDefault="004B17AF" w:rsidP="00A12C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64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46A">
      <w:rPr>
        <w:rStyle w:val="PageNumber"/>
        <w:noProof/>
      </w:rPr>
      <w:t>3</w:t>
    </w:r>
    <w:r>
      <w:rPr>
        <w:rStyle w:val="PageNumber"/>
      </w:rPr>
      <w:fldChar w:fldCharType="end"/>
    </w:r>
  </w:p>
  <w:p w:rsidR="009F646A" w:rsidRDefault="009F646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46A" w:rsidRDefault="004B17AF" w:rsidP="00A12C3D">
    <w:pPr>
      <w:pStyle w:val="Head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 w:rsidR="009F64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E85">
      <w:rPr>
        <w:rStyle w:val="PageNumber"/>
        <w:noProof/>
      </w:rPr>
      <w:t>2</w:t>
    </w:r>
    <w:r>
      <w:rPr>
        <w:rStyle w:val="PageNumber"/>
      </w:rPr>
      <w:fldChar w:fldCharType="end"/>
    </w:r>
  </w:p>
  <w:p w:rsidR="009F646A" w:rsidRPr="00A12C3D" w:rsidRDefault="009F646A" w:rsidP="00A12C3D">
    <w:pPr>
      <w:pStyle w:val="Header"/>
      <w:jc w:val="right"/>
    </w:pPr>
    <w:r>
      <w:t>40-St-</w:t>
    </w:r>
    <w:r w:rsidR="007A5AF6">
      <w:t>1666/13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A50"/>
    <w:multiLevelType w:val="singleLevel"/>
    <w:tmpl w:val="4B880F3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1C831160"/>
    <w:multiLevelType w:val="hybridMultilevel"/>
    <w:tmpl w:val="9FA648DE"/>
    <w:lvl w:ilvl="0" w:tplc="474CB2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D6E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E21BE"/>
    <w:multiLevelType w:val="hybridMultilevel"/>
    <w:tmpl w:val="34F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E79FA"/>
    <w:multiLevelType w:val="hybridMultilevel"/>
    <w:tmpl w:val="D17CFA2E"/>
    <w:lvl w:ilvl="0" w:tplc="E832889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4FE016E6"/>
    <w:multiLevelType w:val="hybridMultilevel"/>
    <w:tmpl w:val="9FB207F4"/>
    <w:lvl w:ilvl="0" w:tplc="3BEC4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8E16C56"/>
    <w:multiLevelType w:val="hybridMultilevel"/>
    <w:tmpl w:val="4086A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BE3ACE"/>
    <w:multiLevelType w:val="hybridMultilevel"/>
    <w:tmpl w:val="9C90E1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ABD"/>
    <w:rsid w:val="00023656"/>
    <w:rsid w:val="00031560"/>
    <w:rsid w:val="00047093"/>
    <w:rsid w:val="00062F3C"/>
    <w:rsid w:val="000750B4"/>
    <w:rsid w:val="0008428F"/>
    <w:rsid w:val="00086EB8"/>
    <w:rsid w:val="000A1341"/>
    <w:rsid w:val="000D3E10"/>
    <w:rsid w:val="000E77FF"/>
    <w:rsid w:val="000F00A7"/>
    <w:rsid w:val="0010241F"/>
    <w:rsid w:val="00105DED"/>
    <w:rsid w:val="00115E85"/>
    <w:rsid w:val="00136031"/>
    <w:rsid w:val="001401A9"/>
    <w:rsid w:val="0014174A"/>
    <w:rsid w:val="00142559"/>
    <w:rsid w:val="00153E95"/>
    <w:rsid w:val="00161B58"/>
    <w:rsid w:val="0016709E"/>
    <w:rsid w:val="00167C21"/>
    <w:rsid w:val="00185CCC"/>
    <w:rsid w:val="001A0199"/>
    <w:rsid w:val="001A59AD"/>
    <w:rsid w:val="001B30E7"/>
    <w:rsid w:val="001D17FB"/>
    <w:rsid w:val="001D42E0"/>
    <w:rsid w:val="002048C5"/>
    <w:rsid w:val="00222021"/>
    <w:rsid w:val="00232160"/>
    <w:rsid w:val="00274521"/>
    <w:rsid w:val="002812CE"/>
    <w:rsid w:val="002944F0"/>
    <w:rsid w:val="002B1F84"/>
    <w:rsid w:val="002C15FA"/>
    <w:rsid w:val="002C2A39"/>
    <w:rsid w:val="002C4A24"/>
    <w:rsid w:val="002E2883"/>
    <w:rsid w:val="002E62F7"/>
    <w:rsid w:val="002F15B8"/>
    <w:rsid w:val="00323102"/>
    <w:rsid w:val="00333139"/>
    <w:rsid w:val="00361730"/>
    <w:rsid w:val="00371E14"/>
    <w:rsid w:val="00374D53"/>
    <w:rsid w:val="00380A99"/>
    <w:rsid w:val="003B6F27"/>
    <w:rsid w:val="004270F7"/>
    <w:rsid w:val="00430D99"/>
    <w:rsid w:val="0044359C"/>
    <w:rsid w:val="004451EF"/>
    <w:rsid w:val="0045184F"/>
    <w:rsid w:val="0045250C"/>
    <w:rsid w:val="004560D9"/>
    <w:rsid w:val="00464879"/>
    <w:rsid w:val="004B0809"/>
    <w:rsid w:val="004B17AF"/>
    <w:rsid w:val="004C5C6C"/>
    <w:rsid w:val="004D73BC"/>
    <w:rsid w:val="004D7CF5"/>
    <w:rsid w:val="004F5779"/>
    <w:rsid w:val="00513852"/>
    <w:rsid w:val="00515969"/>
    <w:rsid w:val="005175E7"/>
    <w:rsid w:val="00526D62"/>
    <w:rsid w:val="005318A9"/>
    <w:rsid w:val="00592CB5"/>
    <w:rsid w:val="005A6EB9"/>
    <w:rsid w:val="005C2EB1"/>
    <w:rsid w:val="005C51D7"/>
    <w:rsid w:val="005D56F9"/>
    <w:rsid w:val="005D734D"/>
    <w:rsid w:val="005F5633"/>
    <w:rsid w:val="0061272E"/>
    <w:rsid w:val="00621277"/>
    <w:rsid w:val="00622282"/>
    <w:rsid w:val="00633709"/>
    <w:rsid w:val="00640C5B"/>
    <w:rsid w:val="00645508"/>
    <w:rsid w:val="00652C42"/>
    <w:rsid w:val="00654294"/>
    <w:rsid w:val="00654E6E"/>
    <w:rsid w:val="0066596C"/>
    <w:rsid w:val="00673E28"/>
    <w:rsid w:val="006819FF"/>
    <w:rsid w:val="006832A5"/>
    <w:rsid w:val="00685199"/>
    <w:rsid w:val="00696C63"/>
    <w:rsid w:val="006A48C8"/>
    <w:rsid w:val="006A7E7B"/>
    <w:rsid w:val="006B3E98"/>
    <w:rsid w:val="006C2827"/>
    <w:rsid w:val="006C3587"/>
    <w:rsid w:val="006D240B"/>
    <w:rsid w:val="006D4DB7"/>
    <w:rsid w:val="006D61E1"/>
    <w:rsid w:val="007025E0"/>
    <w:rsid w:val="00736EF6"/>
    <w:rsid w:val="0074479B"/>
    <w:rsid w:val="007678A2"/>
    <w:rsid w:val="00772BB1"/>
    <w:rsid w:val="007A0ABD"/>
    <w:rsid w:val="007A26A6"/>
    <w:rsid w:val="007A3E67"/>
    <w:rsid w:val="007A5AF6"/>
    <w:rsid w:val="007D16E7"/>
    <w:rsid w:val="007D25D9"/>
    <w:rsid w:val="007D3454"/>
    <w:rsid w:val="007F6BA6"/>
    <w:rsid w:val="00800183"/>
    <w:rsid w:val="00810FFB"/>
    <w:rsid w:val="008217ED"/>
    <w:rsid w:val="00823013"/>
    <w:rsid w:val="00827895"/>
    <w:rsid w:val="008511D8"/>
    <w:rsid w:val="00877097"/>
    <w:rsid w:val="00883836"/>
    <w:rsid w:val="0088567D"/>
    <w:rsid w:val="008D0264"/>
    <w:rsid w:val="008D415D"/>
    <w:rsid w:val="008F41CA"/>
    <w:rsid w:val="008F701B"/>
    <w:rsid w:val="00900636"/>
    <w:rsid w:val="00924694"/>
    <w:rsid w:val="00936FA0"/>
    <w:rsid w:val="009515ED"/>
    <w:rsid w:val="0095627D"/>
    <w:rsid w:val="00974456"/>
    <w:rsid w:val="00981E93"/>
    <w:rsid w:val="00986C9F"/>
    <w:rsid w:val="009917AB"/>
    <w:rsid w:val="009A16D9"/>
    <w:rsid w:val="009A6E63"/>
    <w:rsid w:val="009A75C0"/>
    <w:rsid w:val="009C3B39"/>
    <w:rsid w:val="009C659B"/>
    <w:rsid w:val="009F646A"/>
    <w:rsid w:val="00A12C3D"/>
    <w:rsid w:val="00A31CB4"/>
    <w:rsid w:val="00A36F1D"/>
    <w:rsid w:val="00A463A2"/>
    <w:rsid w:val="00A53CB8"/>
    <w:rsid w:val="00A53CE0"/>
    <w:rsid w:val="00A65ED3"/>
    <w:rsid w:val="00A75A37"/>
    <w:rsid w:val="00A806E8"/>
    <w:rsid w:val="00A84C1A"/>
    <w:rsid w:val="00A96786"/>
    <w:rsid w:val="00AB665A"/>
    <w:rsid w:val="00AD76E0"/>
    <w:rsid w:val="00AE263A"/>
    <w:rsid w:val="00AE28C7"/>
    <w:rsid w:val="00B01320"/>
    <w:rsid w:val="00B34EC8"/>
    <w:rsid w:val="00B3642F"/>
    <w:rsid w:val="00B408B7"/>
    <w:rsid w:val="00B4366F"/>
    <w:rsid w:val="00B45135"/>
    <w:rsid w:val="00B46073"/>
    <w:rsid w:val="00B50989"/>
    <w:rsid w:val="00B75233"/>
    <w:rsid w:val="00B825E1"/>
    <w:rsid w:val="00B8436A"/>
    <w:rsid w:val="00B9445D"/>
    <w:rsid w:val="00BA698F"/>
    <w:rsid w:val="00BA6D11"/>
    <w:rsid w:val="00BB2D8F"/>
    <w:rsid w:val="00BC214C"/>
    <w:rsid w:val="00BD2BEF"/>
    <w:rsid w:val="00BD595B"/>
    <w:rsid w:val="00BE3191"/>
    <w:rsid w:val="00BE5BAA"/>
    <w:rsid w:val="00C21015"/>
    <w:rsid w:val="00C311AF"/>
    <w:rsid w:val="00C31D80"/>
    <w:rsid w:val="00C41D74"/>
    <w:rsid w:val="00C43F18"/>
    <w:rsid w:val="00C46A70"/>
    <w:rsid w:val="00C7731C"/>
    <w:rsid w:val="00C8114E"/>
    <w:rsid w:val="00C81737"/>
    <w:rsid w:val="00C84071"/>
    <w:rsid w:val="00C955C4"/>
    <w:rsid w:val="00C95F88"/>
    <w:rsid w:val="00CB2481"/>
    <w:rsid w:val="00CB452B"/>
    <w:rsid w:val="00CC3B04"/>
    <w:rsid w:val="00CC3B97"/>
    <w:rsid w:val="00CD4E7C"/>
    <w:rsid w:val="00CD57A7"/>
    <w:rsid w:val="00CE350D"/>
    <w:rsid w:val="00CE4AD0"/>
    <w:rsid w:val="00D2406C"/>
    <w:rsid w:val="00D27E4F"/>
    <w:rsid w:val="00D3205F"/>
    <w:rsid w:val="00D4368F"/>
    <w:rsid w:val="00D5779B"/>
    <w:rsid w:val="00D66697"/>
    <w:rsid w:val="00D72AE8"/>
    <w:rsid w:val="00D7642B"/>
    <w:rsid w:val="00D8523B"/>
    <w:rsid w:val="00D85CC6"/>
    <w:rsid w:val="00D92622"/>
    <w:rsid w:val="00DB57AB"/>
    <w:rsid w:val="00DB6978"/>
    <w:rsid w:val="00DC7D12"/>
    <w:rsid w:val="00DD1ABE"/>
    <w:rsid w:val="00DD43F9"/>
    <w:rsid w:val="00DE7D88"/>
    <w:rsid w:val="00DF4DE0"/>
    <w:rsid w:val="00E2286B"/>
    <w:rsid w:val="00E2581B"/>
    <w:rsid w:val="00E403AC"/>
    <w:rsid w:val="00E473A3"/>
    <w:rsid w:val="00E54201"/>
    <w:rsid w:val="00E64DD9"/>
    <w:rsid w:val="00E66974"/>
    <w:rsid w:val="00E77699"/>
    <w:rsid w:val="00E919CC"/>
    <w:rsid w:val="00EA2380"/>
    <w:rsid w:val="00EB0E50"/>
    <w:rsid w:val="00EC0FC1"/>
    <w:rsid w:val="00EC396C"/>
    <w:rsid w:val="00EC7AF6"/>
    <w:rsid w:val="00EE017A"/>
    <w:rsid w:val="00EE24BD"/>
    <w:rsid w:val="00EE6472"/>
    <w:rsid w:val="00F07951"/>
    <w:rsid w:val="00F1365A"/>
    <w:rsid w:val="00F2024C"/>
    <w:rsid w:val="00F607C4"/>
    <w:rsid w:val="00F63AC4"/>
    <w:rsid w:val="00F82CEF"/>
    <w:rsid w:val="00F868C9"/>
    <w:rsid w:val="00F86E5D"/>
    <w:rsid w:val="00F92F05"/>
    <w:rsid w:val="00FA7D65"/>
    <w:rsid w:val="00FB4140"/>
    <w:rsid w:val="00FC10F8"/>
    <w:rsid w:val="00FE2F1D"/>
    <w:rsid w:val="00FF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1A9"/>
    <w:rPr>
      <w:sz w:val="24"/>
      <w:szCs w:val="24"/>
    </w:rPr>
  </w:style>
  <w:style w:type="paragraph" w:styleId="Heading2">
    <w:name w:val="heading 2"/>
    <w:basedOn w:val="Normal"/>
    <w:next w:val="Normal"/>
    <w:qFormat/>
    <w:rsid w:val="0066596C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17AF"/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4B17A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4B17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B17AF"/>
  </w:style>
  <w:style w:type="paragraph" w:styleId="Footer">
    <w:name w:val="footer"/>
    <w:basedOn w:val="Normal"/>
    <w:rsid w:val="00A12C3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A7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1A9"/>
    <w:rPr>
      <w:sz w:val="24"/>
      <w:szCs w:val="24"/>
    </w:rPr>
  </w:style>
  <w:style w:type="paragraph" w:styleId="Naslov2">
    <w:name w:val="heading 2"/>
    <w:basedOn w:val="Normal"/>
    <w:next w:val="Normal"/>
    <w:qFormat/>
    <w:rsid w:val="0066596C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 w:cs="Arial"/>
      <w:sz w:val="22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rsid w:val="00A12C3D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6A7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Stečajna upraviteljica Zagreb tvornica dječje obuće d</vt:lpstr>
    </vt:vector>
  </TitlesOfParts>
  <Company>TRGOVACKI SUD U ZAGREBU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Stečajna upraviteljica Zagreb tvornica dječje obuće d</dc:title>
  <dc:creator>BISERKA CALIC</dc:creator>
  <cp:lastModifiedBy>Matija</cp:lastModifiedBy>
  <cp:revision>2</cp:revision>
  <cp:lastPrinted>2016-10-20T11:54:00Z</cp:lastPrinted>
  <dcterms:created xsi:type="dcterms:W3CDTF">2016-10-25T18:40:00Z</dcterms:created>
  <dcterms:modified xsi:type="dcterms:W3CDTF">2016-10-25T18:40:00Z</dcterms:modified>
</cp:coreProperties>
</file>